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2ADD" w14:textId="77777777" w:rsidR="00325BB3" w:rsidRPr="00415066" w:rsidRDefault="00037B4B" w:rsidP="005704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bookmarkStart w:id="0" w:name="_GoBack"/>
      <w:r w:rsidRPr="00415066">
        <w:rPr>
          <w:rFonts w:ascii="Times New Roman" w:hAnsi="Times New Roman" w:cs="Times New Roman"/>
          <w:b/>
          <w:color w:val="000000" w:themeColor="text1"/>
          <w:lang w:val="en-GB"/>
        </w:rPr>
        <w:t>Modelling lines of sculptural thought:</w:t>
      </w:r>
      <w:r w:rsidR="00570474" w:rsidRPr="00415066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</w:p>
    <w:p w14:paraId="4C3D2A66" w14:textId="09171796" w:rsidR="00037B4B" w:rsidRPr="00415066" w:rsidRDefault="00037B4B" w:rsidP="005704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b/>
          <w:color w:val="000000" w:themeColor="text1"/>
          <w:lang w:val="en-GB"/>
        </w:rPr>
        <w:t>The use of a transcription project to interrogate, intervene and dialogue with a sculpture archive</w:t>
      </w:r>
    </w:p>
    <w:p w14:paraId="55F08AEA" w14:textId="77777777" w:rsidR="00325BB3" w:rsidRPr="00415066" w:rsidRDefault="00325BB3" w:rsidP="005704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74354BA2" w14:textId="77777777" w:rsidR="00570474" w:rsidRPr="00415066" w:rsidRDefault="00570474" w:rsidP="0057047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>Sheila Gaffney</w:t>
      </w:r>
    </w:p>
    <w:p w14:paraId="5A77F4C6" w14:textId="77777777" w:rsidR="005A2FBB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696654A5" w14:textId="77777777" w:rsidR="00A7686E" w:rsidRPr="00415066" w:rsidRDefault="00A7686E" w:rsidP="00A7686E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>The archive is the site where sculpture and sculptural thinking can be deliberated through the process of transcription. I believe that for the sculptor this is a pertinent research tool. It can carry over one form of inscription into another. In this example, this archival intervention operates as a mode of inscription that is sculptural, spatial, material, and psychological. It offers a form of retrieval for an archival project of this type and allows for the invention of a situation where both a spatial and psychological dimension to the reading of objects from the past are used to develop work in the present. Transcription is a form of modelling lines of sculptural thought and the archive is a space within which such modelling happens.</w:t>
      </w:r>
    </w:p>
    <w:p w14:paraId="15CA33BB" w14:textId="77777777" w:rsidR="00A7686E" w:rsidRPr="00415066" w:rsidRDefault="00A7686E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7219BFE8" w14:textId="5AFD9831" w:rsidR="005A2FBB" w:rsidRPr="00415066" w:rsidRDefault="008A0D22" w:rsidP="0057047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 transcription project typically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taking of a master painting and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then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drawing from it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in order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to understand how it is made.  This is not copying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;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it is not an action of verbatim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replication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Instead the artist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is distilling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the image, taking from it what </w:t>
      </w:r>
      <w:r w:rsidRPr="00415066">
        <w:rPr>
          <w:rFonts w:ascii="Times New Roman" w:hAnsi="Times New Roman" w:cs="Times New Roman"/>
          <w:color w:val="000000" w:themeColor="text1"/>
        </w:rPr>
        <w:t>she des</w:t>
      </w:r>
      <w:r w:rsidR="00270BA1" w:rsidRPr="00415066">
        <w:rPr>
          <w:rFonts w:ascii="Times New Roman" w:hAnsi="Times New Roman" w:cs="Times New Roman"/>
          <w:color w:val="000000" w:themeColor="text1"/>
        </w:rPr>
        <w:t>ires</w:t>
      </w:r>
      <w:r w:rsidR="001A6698" w:rsidRPr="00415066">
        <w:rPr>
          <w:rFonts w:ascii="Times New Roman" w:hAnsi="Times New Roman" w:cs="Times New Roman"/>
          <w:color w:val="000000" w:themeColor="text1"/>
        </w:rPr>
        <w:t xml:space="preserve"> </w:t>
      </w:r>
      <w:r w:rsidR="00325BB3" w:rsidRPr="00415066">
        <w:rPr>
          <w:rFonts w:ascii="Times New Roman" w:hAnsi="Times New Roman" w:cs="Times New Roman"/>
          <w:color w:val="000000" w:themeColor="text1"/>
        </w:rPr>
        <w:t xml:space="preserve">and </w:t>
      </w:r>
      <w:r w:rsidR="001A6698" w:rsidRPr="00415066">
        <w:rPr>
          <w:rFonts w:ascii="Times New Roman" w:hAnsi="Times New Roman" w:cs="Times New Roman"/>
          <w:color w:val="000000" w:themeColor="text1"/>
        </w:rPr>
        <w:t xml:space="preserve">leaving the rest behind. </w:t>
      </w:r>
      <w:r w:rsidR="00AC3971" w:rsidRPr="00415066">
        <w:rPr>
          <w:rFonts w:ascii="Times New Roman" w:hAnsi="Times New Roman" w:cs="Times New Roman"/>
          <w:color w:val="000000" w:themeColor="text1"/>
        </w:rPr>
        <w:t xml:space="preserve">There are several examples of sculptors reading or transcribing art in the making of their own work. </w:t>
      </w:r>
      <w:r w:rsidR="00A7686E" w:rsidRPr="00415066">
        <w:rPr>
          <w:rFonts w:ascii="Times New Roman" w:hAnsi="Times New Roman" w:cs="Times New Roman"/>
          <w:color w:val="000000" w:themeColor="text1"/>
        </w:rPr>
        <w:t xml:space="preserve">One example is Anthony Caro’s </w:t>
      </w:r>
      <w:r w:rsidR="00603A05" w:rsidRPr="00415066">
        <w:rPr>
          <w:rFonts w:ascii="Times New Roman" w:hAnsi="Times New Roman" w:cs="Times New Roman"/>
          <w:color w:val="000000" w:themeColor="text1"/>
        </w:rPr>
        <w:t xml:space="preserve">exhibition </w:t>
      </w:r>
      <w:r w:rsidR="00A7686E" w:rsidRPr="00415066">
        <w:rPr>
          <w:rFonts w:ascii="Times New Roman" w:hAnsi="Times New Roman" w:cs="Times New Roman"/>
          <w:color w:val="000000" w:themeColor="text1"/>
        </w:rPr>
        <w:t xml:space="preserve">project in 1998 </w:t>
      </w:r>
      <w:r w:rsidR="00A7686E" w:rsidRPr="00415066">
        <w:rPr>
          <w:rFonts w:ascii="Times New Roman" w:hAnsi="Times New Roman" w:cs="Times New Roman"/>
          <w:i/>
          <w:color w:val="000000" w:themeColor="text1"/>
        </w:rPr>
        <w:t>Caro at the National Gallery: sculpture from painting</w:t>
      </w:r>
      <w:r w:rsidR="00A7686E" w:rsidRPr="00415066">
        <w:rPr>
          <w:rFonts w:ascii="Times New Roman" w:hAnsi="Times New Roman" w:cs="Times New Roman"/>
          <w:color w:val="000000" w:themeColor="text1"/>
        </w:rPr>
        <w:t xml:space="preserve">. In the catalogue he acknowledges </w:t>
      </w:r>
      <w:r w:rsidR="00603A05" w:rsidRPr="00415066">
        <w:rPr>
          <w:rFonts w:ascii="Times New Roman" w:hAnsi="Times New Roman" w:cs="Times New Roman"/>
          <w:color w:val="000000" w:themeColor="text1"/>
        </w:rPr>
        <w:t xml:space="preserve">a </w:t>
      </w:r>
      <w:r w:rsidR="00A7686E" w:rsidRPr="00415066">
        <w:rPr>
          <w:rFonts w:ascii="Times New Roman" w:hAnsi="Times New Roman" w:cs="Times New Roman"/>
          <w:color w:val="000000" w:themeColor="text1"/>
        </w:rPr>
        <w:t>provenance citing Henry Moore’s transcripti</w:t>
      </w:r>
      <w:r w:rsidR="00AC3971" w:rsidRPr="00415066">
        <w:rPr>
          <w:rFonts w:ascii="Times New Roman" w:hAnsi="Times New Roman" w:cs="Times New Roman"/>
          <w:color w:val="000000" w:themeColor="text1"/>
        </w:rPr>
        <w:t>on ‘</w:t>
      </w:r>
      <w:r w:rsidR="00A7686E" w:rsidRPr="00415066">
        <w:rPr>
          <w:rFonts w:ascii="Times New Roman" w:hAnsi="Times New Roman" w:cs="Times New Roman"/>
          <w:color w:val="000000" w:themeColor="text1"/>
        </w:rPr>
        <w:t>Three Bathers</w:t>
      </w:r>
      <w:r w:rsidR="00AC3971" w:rsidRPr="00415066">
        <w:rPr>
          <w:rFonts w:ascii="Times New Roman" w:hAnsi="Times New Roman" w:cs="Times New Roman"/>
          <w:color w:val="000000" w:themeColor="text1"/>
        </w:rPr>
        <w:t xml:space="preserve"> – after Cezanne’ (1978)</w:t>
      </w:r>
      <w:r w:rsidR="00A7686E" w:rsidRPr="00415066">
        <w:rPr>
          <w:rFonts w:ascii="Times New Roman" w:hAnsi="Times New Roman" w:cs="Times New Roman"/>
          <w:color w:val="000000" w:themeColor="text1"/>
        </w:rPr>
        <w:t>.</w:t>
      </w:r>
      <w:r w:rsidR="00AC3971" w:rsidRPr="00415066">
        <w:rPr>
          <w:rFonts w:ascii="Times New Roman" w:hAnsi="Times New Roman" w:cs="Times New Roman"/>
          <w:color w:val="000000" w:themeColor="text1"/>
        </w:rPr>
        <w:t xml:space="preserve"> In ‘Pose Work for Plinths I</w:t>
      </w:r>
      <w:r w:rsidR="00603A05" w:rsidRPr="00415066">
        <w:rPr>
          <w:rFonts w:ascii="Times New Roman" w:hAnsi="Times New Roman" w:cs="Times New Roman"/>
          <w:color w:val="000000" w:themeColor="text1"/>
        </w:rPr>
        <w:t xml:space="preserve">’ </w:t>
      </w:r>
      <w:r w:rsidR="00AC3971" w:rsidRPr="00415066">
        <w:rPr>
          <w:rFonts w:ascii="Times New Roman" w:hAnsi="Times New Roman" w:cs="Times New Roman"/>
          <w:color w:val="000000" w:themeColor="text1"/>
        </w:rPr>
        <w:t xml:space="preserve">(1971) Bruce Maclean used his own body to transcribe and parody the poses of Henry </w:t>
      </w:r>
      <w:r w:rsidR="00AC3971" w:rsidRPr="00415066">
        <w:rPr>
          <w:rFonts w:ascii="Times New Roman" w:hAnsi="Times New Roman" w:cs="Times New Roman"/>
          <w:color w:val="000000" w:themeColor="text1"/>
        </w:rPr>
        <w:lastRenderedPageBreak/>
        <w:t xml:space="preserve">Moore's celebrated reclining figures. </w:t>
      </w:r>
      <w:r w:rsidR="005A2FBB" w:rsidRPr="00415066">
        <w:rPr>
          <w:rFonts w:ascii="Times New Roman" w:hAnsi="Times New Roman" w:cs="Times New Roman"/>
          <w:color w:val="000000" w:themeColor="text1"/>
        </w:rPr>
        <w:t xml:space="preserve">Sculpture, particularly in </w:t>
      </w:r>
      <w:r w:rsidR="00325BB3" w:rsidRPr="00415066">
        <w:rPr>
          <w:rFonts w:ascii="Times New Roman" w:hAnsi="Times New Roman" w:cs="Times New Roman"/>
          <w:color w:val="000000" w:themeColor="text1"/>
        </w:rPr>
        <w:t xml:space="preserve">twentieth century </w:t>
      </w:r>
      <w:r w:rsidR="001A6698" w:rsidRPr="00415066">
        <w:rPr>
          <w:rFonts w:ascii="Times New Roman" w:hAnsi="Times New Roman" w:cs="Times New Roman"/>
          <w:color w:val="000000" w:themeColor="text1"/>
        </w:rPr>
        <w:t>Britain</w:t>
      </w:r>
      <w:r w:rsidR="00325BB3" w:rsidRPr="00415066">
        <w:rPr>
          <w:rFonts w:ascii="Times New Roman" w:hAnsi="Times New Roman" w:cs="Times New Roman"/>
          <w:color w:val="000000" w:themeColor="text1"/>
        </w:rPr>
        <w:t xml:space="preserve">, </w:t>
      </w:r>
      <w:r w:rsidR="005A2FBB" w:rsidRPr="00415066">
        <w:rPr>
          <w:rFonts w:ascii="Times New Roman" w:hAnsi="Times New Roman" w:cs="Times New Roman"/>
          <w:color w:val="000000" w:themeColor="text1"/>
        </w:rPr>
        <w:t xml:space="preserve">has a history of reading objects from the past </w:t>
      </w:r>
      <w:r w:rsidRPr="00415066">
        <w:rPr>
          <w:rFonts w:ascii="Times New Roman" w:hAnsi="Times New Roman" w:cs="Times New Roman"/>
          <w:color w:val="000000" w:themeColor="text1"/>
        </w:rPr>
        <w:t xml:space="preserve">in order </w:t>
      </w:r>
      <w:r w:rsidR="005A2FBB" w:rsidRPr="00415066">
        <w:rPr>
          <w:rFonts w:ascii="Times New Roman" w:hAnsi="Times New Roman" w:cs="Times New Roman"/>
          <w:color w:val="000000" w:themeColor="text1"/>
        </w:rPr>
        <w:t xml:space="preserve">to develop </w:t>
      </w:r>
      <w:r w:rsidR="007D3F74" w:rsidRPr="00415066">
        <w:rPr>
          <w:rFonts w:ascii="Times New Roman" w:hAnsi="Times New Roman" w:cs="Times New Roman"/>
          <w:color w:val="000000" w:themeColor="text1"/>
        </w:rPr>
        <w:t>work in the present</w:t>
      </w:r>
      <w:r w:rsidR="005A2FBB" w:rsidRPr="00415066">
        <w:rPr>
          <w:rFonts w:ascii="Times New Roman" w:hAnsi="Times New Roman" w:cs="Times New Roman"/>
          <w:color w:val="000000" w:themeColor="text1"/>
        </w:rPr>
        <w:t>.</w:t>
      </w:r>
    </w:p>
    <w:p w14:paraId="59A3EB72" w14:textId="77777777" w:rsidR="001A6698" w:rsidRPr="00415066" w:rsidRDefault="001A6698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331A94A6" w14:textId="1970D586" w:rsidR="005A2FBB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In 2009 I was one of six artists invited to engage with and make new work in response to the collection at Huddersfield Art Gallery.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Choosing which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work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from the collection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to study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was,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for me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 no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-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brainer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: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6B17C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it was easy because I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ha</w:t>
      </w:r>
      <w:r w:rsidR="006B17C1" w:rsidRPr="00415066">
        <w:rPr>
          <w:rFonts w:ascii="Times New Roman" w:hAnsi="Times New Roman" w:cs="Times New Roman"/>
          <w:color w:val="000000" w:themeColor="text1"/>
          <w:lang w:val="en-GB"/>
        </w:rPr>
        <w:t>d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seen the 2007 exhibition </w:t>
      </w:r>
      <w:r w:rsidRPr="00415066">
        <w:rPr>
          <w:rFonts w:ascii="Times New Roman" w:hAnsi="Times New Roman" w:cs="Times New Roman"/>
          <w:i/>
          <w:color w:val="000000" w:themeColor="text1"/>
          <w:lang w:val="en-GB"/>
        </w:rPr>
        <w:t>Beyond Appearances: The Sculptu</w:t>
      </w:r>
      <w:r w:rsidR="00D77444" w:rsidRPr="00415066">
        <w:rPr>
          <w:rFonts w:ascii="Times New Roman" w:hAnsi="Times New Roman" w:cs="Times New Roman"/>
          <w:i/>
          <w:color w:val="000000" w:themeColor="text1"/>
          <w:lang w:val="en-GB"/>
        </w:rPr>
        <w:t>re of Carl Plackman 1943–2004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B110B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British sculptor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Carl Plackman 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 xml:space="preserve">(1943-2004)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exhibited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both nationally and internationally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throughout his lifetime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I met him when he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was a Visiting Lecturer at the Slade School of Fine Art in the 1980s when I was a student there. He was part of both my lived experience and the context within which I formed my own sculptural positioning.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As I approached this project,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I </w:t>
      </w:r>
      <w:r w:rsidR="00D629DA" w:rsidRPr="00415066">
        <w:rPr>
          <w:rFonts w:ascii="Times New Roman" w:hAnsi="Times New Roman" w:cs="Times New Roman"/>
          <w:color w:val="000000" w:themeColor="text1"/>
          <w:lang w:val="en-GB"/>
        </w:rPr>
        <w:t>dismissed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all opportunities to review the catalogue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of this 2007 exhibition,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or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to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explore the hegemonic or taxonomic structures that surround a gallery or civic collection. My decision was to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simply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get out of storage and view the pieces by </w:t>
      </w:r>
      <w:r w:rsidR="00D77444" w:rsidRPr="00415066">
        <w:rPr>
          <w:rFonts w:ascii="Times New Roman" w:hAnsi="Times New Roman" w:cs="Times New Roman"/>
          <w:color w:val="000000" w:themeColor="text1"/>
          <w:lang w:val="en-GB"/>
        </w:rPr>
        <w:t>Plackman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in the collection. This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culminated in my own response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 a work titled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‘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>To the Table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1DC56379" w14:textId="77777777" w:rsidR="005A2FBB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359AA05F" w14:textId="14C43746" w:rsidR="00BA460A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Visiting </w:t>
      </w:r>
      <w:r w:rsidR="00230A7B" w:rsidRPr="00415066">
        <w:rPr>
          <w:rFonts w:ascii="Times New Roman" w:hAnsi="Times New Roman" w:cs="Times New Roman"/>
          <w:color w:val="000000" w:themeColor="text1"/>
          <w:lang w:val="en-GB"/>
        </w:rPr>
        <w:t>his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exhibition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some eight years ago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had returned my</w:t>
      </w:r>
      <w:r w:rsidR="0053732F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thought to the powerful sculpture polemic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that was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at</w:t>
      </w:r>
      <w:r w:rsidR="0053732F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play in London in the 1980s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.  In the 1960s and 1970s there was a shared problematic lived out by British sculptors through their performed practices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Writing of this period, the art historian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Jon Wood describes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this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as </w:t>
      </w:r>
      <w:r w:rsidR="0086147D" w:rsidRPr="00415066">
        <w:rPr>
          <w:rFonts w:ascii="Times New Roman" w:hAnsi="Times New Roman" w:cs="Times New Roman"/>
          <w:color w:val="000000" w:themeColor="text1"/>
          <w:lang w:val="en-GB"/>
        </w:rPr>
        <w:t>‘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the complex space of sculpture in Britain</w:t>
      </w:r>
      <w:r w:rsidR="0086147D" w:rsidRPr="00415066">
        <w:rPr>
          <w:rFonts w:ascii="Times New Roman" w:hAnsi="Times New Roman" w:cs="Times New Roman"/>
          <w:color w:val="000000" w:themeColor="text1"/>
          <w:lang w:val="en-GB"/>
        </w:rPr>
        <w:t>’.</w:t>
      </w:r>
      <w:r w:rsidR="00C12FA1" w:rsidRPr="00415066">
        <w:rPr>
          <w:rStyle w:val="EndnoteReference"/>
          <w:rFonts w:ascii="Times New Roman" w:hAnsi="Times New Roman" w:cs="Times New Roman"/>
          <w:color w:val="000000" w:themeColor="text1"/>
          <w:lang w:val="en-GB"/>
        </w:rPr>
        <w:endnoteReference w:id="1"/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I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decided to focus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in on 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>one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drawing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by Plackman, ‘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Civilisation as Barbarism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FE360F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[see</w:t>
      </w:r>
      <w:r w:rsidR="00FE360F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Fig. 1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]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made in 1984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-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30A7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same </w:t>
      </w:r>
      <w:r w:rsidR="00230A7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year I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made my first complex </w:t>
      </w:r>
      <w:r w:rsidR="000A6D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piece of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sculpture.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This, m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y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postgraduate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installation at the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lastRenderedPageBreak/>
        <w:t>Slade School of Fine Art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was titled ‘A Philosophy of Generosity.’ It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comprised two table based pieces positioned next to one another, installed in an immersive space where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walls and floor were hand washed with pigment and clay.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At this time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I was challenging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in my practice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>the sculptural object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 seeking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to produce a discursive interactive involvement in the action of looking.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T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>here was a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shared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co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mposition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that resonated 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between Plackman’s 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>drawing and my own sculpture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: b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>oth</w:t>
      </w:r>
      <w:r w:rsidR="0080549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co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nsiste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d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 group of assembled objects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place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d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on a wooden surface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framed within a rectangle</w:t>
      </w:r>
      <w:r w:rsidR="006D446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230A7B" w:rsidRPr="00415066">
        <w:rPr>
          <w:rFonts w:ascii="Times New Roman" w:hAnsi="Times New Roman" w:cs="Times New Roman"/>
          <w:color w:val="000000" w:themeColor="text1"/>
          <w:lang w:val="en-GB"/>
        </w:rPr>
        <w:t>They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operated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with a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similar visuality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but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were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made from different subjective positions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that,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C3440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 would argue,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demonst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r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ate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d what Jon Wood in the aforementioned essay regards as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an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‘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art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historical narrative of inter-generational rivalry and succession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’</w:t>
      </w:r>
      <w:r w:rsidR="004D0540" w:rsidRPr="00415066">
        <w:rPr>
          <w:rStyle w:val="EndnoteReference"/>
          <w:rFonts w:ascii="Times New Roman" w:hAnsi="Times New Roman" w:cs="Times New Roman"/>
          <w:color w:val="000000" w:themeColor="text1"/>
          <w:lang w:val="en-GB"/>
        </w:rPr>
        <w:endnoteReference w:id="2"/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>Lo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>o</w:t>
      </w:r>
      <w:r w:rsidR="00735DE2" w:rsidRPr="00415066">
        <w:rPr>
          <w:rFonts w:ascii="Times New Roman" w:hAnsi="Times New Roman" w:cs="Times New Roman"/>
          <w:color w:val="000000" w:themeColor="text1"/>
          <w:lang w:val="en-GB"/>
        </w:rPr>
        <w:t xml:space="preserve">king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at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Plackman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’s drawing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prompted a broader speculation for me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and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it encouraged me to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reflect on a key moment of my own development as a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sculptor and return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to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thinking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about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what was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play between sculptors in 1984. </w:t>
      </w:r>
    </w:p>
    <w:p w14:paraId="1777EF79" w14:textId="77777777" w:rsidR="00BA460A" w:rsidRPr="00415066" w:rsidRDefault="00BA460A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44A07984" w14:textId="0CB740C7" w:rsidR="00D9377E" w:rsidRPr="00415066" w:rsidRDefault="005A2FBB" w:rsidP="004E6B71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>Drawing was taught as a distinct mode of sculptural thinking when I studied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sculpture at art school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. It is part of my pedagogical inheritance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taught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me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to think sculpturally as a student at Camberwell School of Art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and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Craft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s. H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ere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students were encouraged to make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observati</w:t>
      </w:r>
      <w:r w:rsidR="005A2E13" w:rsidRPr="00415066">
        <w:rPr>
          <w:rFonts w:ascii="Times New Roman" w:hAnsi="Times New Roman" w:cs="Times New Roman"/>
          <w:color w:val="000000" w:themeColor="text1"/>
          <w:lang w:val="en-GB"/>
        </w:rPr>
        <w:t>onal drawing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s, sometimes for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as long as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two week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s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325BB3" w:rsidRPr="00415066">
        <w:rPr>
          <w:rFonts w:ascii="Times New Roman" w:hAnsi="Times New Roman" w:cs="Times New Roman"/>
          <w:color w:val="000000" w:themeColor="text1"/>
          <w:lang w:val="en-GB"/>
        </w:rPr>
        <w:t>T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he nature of any drawing pedagogy can be defined by the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particular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genealogy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of an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art school. It is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thus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my own default position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as an alumn</w:t>
      </w:r>
      <w:r w:rsidR="00D91009" w:rsidRPr="00415066">
        <w:rPr>
          <w:rFonts w:ascii="Times New Roman" w:hAnsi="Times New Roman" w:cs="Times New Roman"/>
          <w:color w:val="000000" w:themeColor="text1"/>
          <w:lang w:val="en-GB"/>
        </w:rPr>
        <w:t>us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of the Camberwell Sculpture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>D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epartment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to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make use of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 drawing system to </w:t>
      </w:r>
      <w:r w:rsidR="00971638" w:rsidRPr="00415066">
        <w:rPr>
          <w:rFonts w:ascii="Times New Roman" w:hAnsi="Times New Roman" w:cs="Times New Roman"/>
          <w:color w:val="000000" w:themeColor="text1"/>
          <w:lang w:val="en-GB"/>
        </w:rPr>
        <w:t>inter</w:t>
      </w:r>
      <w:r w:rsidR="00D725B8" w:rsidRPr="00415066">
        <w:rPr>
          <w:rFonts w:ascii="Times New Roman" w:hAnsi="Times New Roman" w:cs="Times New Roman"/>
          <w:color w:val="000000" w:themeColor="text1"/>
          <w:lang w:val="en-GB"/>
        </w:rPr>
        <w:t>r</w:t>
      </w:r>
      <w:r w:rsidR="00971638" w:rsidRPr="00415066">
        <w:rPr>
          <w:rFonts w:ascii="Times New Roman" w:hAnsi="Times New Roman" w:cs="Times New Roman"/>
          <w:color w:val="000000" w:themeColor="text1"/>
          <w:lang w:val="en-GB"/>
        </w:rPr>
        <w:t>ogate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an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observed subject.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So</w:t>
      </w:r>
      <w:r w:rsidR="001A669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, to select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a drawing by Carl Plackman as an example of space, form and object relations was a comfortable action for me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It was one that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ma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de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A60048" w:rsidRPr="00415066">
        <w:rPr>
          <w:rFonts w:ascii="Times New Roman" w:hAnsi="Times New Roman" w:cs="Times New Roman"/>
          <w:color w:val="000000" w:themeColor="text1"/>
          <w:lang w:val="en-GB"/>
        </w:rPr>
        <w:t>no distinction as to whether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two or three dimensional rendering is the sculpture or not.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In this way, d</w:t>
      </w:r>
      <w:r w:rsidR="00D9377E" w:rsidRPr="00415066">
        <w:rPr>
          <w:rFonts w:ascii="Times New Roman" w:hAnsi="Times New Roman" w:cs="Times New Roman"/>
          <w:color w:val="000000" w:themeColor="text1"/>
          <w:lang w:val="en-GB"/>
        </w:rPr>
        <w:t xml:space="preserve">rawing and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sculpture </w:t>
      </w:r>
      <w:r w:rsidR="00D9377E" w:rsidRPr="00415066">
        <w:rPr>
          <w:rFonts w:ascii="Times New Roman" w:hAnsi="Times New Roman" w:cs="Times New Roman"/>
          <w:color w:val="000000" w:themeColor="text1"/>
          <w:lang w:val="en-GB"/>
        </w:rPr>
        <w:t xml:space="preserve">could be perceived as a seamless activity. </w:t>
      </w:r>
    </w:p>
    <w:p w14:paraId="13CE1CF8" w14:textId="77777777" w:rsidR="001A6698" w:rsidRPr="00415066" w:rsidRDefault="001A6698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36777279" w14:textId="46A996B2" w:rsidR="005A2FBB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To initiate my interrogation of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Plackman’s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work I began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with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a period of drawing. I consciously positioned myself as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enquirer in this process by implementing another inherited </w:t>
      </w:r>
      <w:r w:rsidR="00300C2A" w:rsidRPr="00415066">
        <w:rPr>
          <w:rFonts w:ascii="Times New Roman" w:hAnsi="Times New Roman" w:cs="Times New Roman"/>
          <w:color w:val="000000" w:themeColor="text1"/>
          <w:lang w:val="en-GB"/>
        </w:rPr>
        <w:t xml:space="preserve">drawing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pedagogy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tr</w:t>
      </w:r>
      <w:r w:rsidR="00300C2A" w:rsidRPr="00415066">
        <w:rPr>
          <w:rFonts w:ascii="Times New Roman" w:hAnsi="Times New Roman" w:cs="Times New Roman"/>
          <w:color w:val="000000" w:themeColor="text1"/>
          <w:lang w:val="en-GB"/>
        </w:rPr>
        <w:t>anscription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. This involved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taking </w:t>
      </w:r>
      <w:r w:rsidR="000666EB" w:rsidRPr="00415066">
        <w:rPr>
          <w:rFonts w:ascii="Times New Roman" w:hAnsi="Times New Roman" w:cs="Times New Roman"/>
          <w:color w:val="000000" w:themeColor="text1"/>
          <w:lang w:val="en-GB"/>
        </w:rPr>
        <w:t>a conscious decision to evoke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scientific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re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search in order to ascertain truthful revelation. I began a period of rigorous and analytical drawing </w:t>
      </w:r>
      <w:r w:rsidR="007C6E66" w:rsidRPr="00415066">
        <w:rPr>
          <w:rFonts w:ascii="Times New Roman" w:hAnsi="Times New Roman" w:cs="Times New Roman"/>
          <w:color w:val="000000" w:themeColor="text1"/>
          <w:lang w:val="en-GB"/>
        </w:rPr>
        <w:t>using the transformative system</w:t>
      </w:r>
      <w:r w:rsidR="007C6E66" w:rsidRPr="00415066">
        <w:rPr>
          <w:rStyle w:val="EndnoteReference"/>
          <w:rFonts w:ascii="Times New Roman" w:hAnsi="Times New Roman" w:cs="Times New Roman"/>
          <w:color w:val="000000" w:themeColor="text1"/>
          <w:lang w:val="en-GB"/>
        </w:rPr>
        <w:endnoteReference w:id="3"/>
      </w:r>
      <w:r w:rsidR="007C6E6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13BB5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axonometric projection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that is often used by architects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My intention was to </w:t>
      </w:r>
      <w:r w:rsidR="005D5CFB" w:rsidRPr="00415066">
        <w:rPr>
          <w:rFonts w:ascii="Times New Roman" w:hAnsi="Times New Roman" w:cs="Times New Roman"/>
          <w:color w:val="000000" w:themeColor="text1"/>
          <w:lang w:val="en-GB"/>
        </w:rPr>
        <w:t>employ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 method that could strip away subject matter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meaning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the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process 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became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</w:t>
      </w:r>
      <w:r w:rsidR="00BA460A" w:rsidRPr="00415066">
        <w:rPr>
          <w:rFonts w:ascii="Times New Roman" w:hAnsi="Times New Roman" w:cs="Times New Roman"/>
          <w:color w:val="000000" w:themeColor="text1"/>
          <w:lang w:val="en-GB"/>
        </w:rPr>
        <w:t>he subject matter of my project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BA460A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I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asked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questions in a way that 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only a </w:t>
      </w:r>
      <w:r w:rsidR="00DF3FE4" w:rsidRPr="00415066">
        <w:rPr>
          <w:rFonts w:ascii="Times New Roman" w:hAnsi="Times New Roman" w:cs="Times New Roman"/>
          <w:color w:val="000000" w:themeColor="text1"/>
          <w:lang w:val="en-GB"/>
        </w:rPr>
        <w:t>sculptor</w:t>
      </w:r>
      <w:r w:rsidR="00F612D8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could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without using words, using the particular kind of insight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an artist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possess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es by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being a practitioner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reading the structural conventions within the drawing. The transcription method gave me spatial and </w:t>
      </w:r>
      <w:r w:rsidR="005A2E13" w:rsidRPr="00415066">
        <w:rPr>
          <w:rFonts w:ascii="Times New Roman" w:hAnsi="Times New Roman" w:cs="Times New Roman"/>
          <w:color w:val="000000" w:themeColor="text1"/>
          <w:lang w:val="en-GB"/>
        </w:rPr>
        <w:t>three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-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dimensional data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that was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extrapolated from behind the ‘seen’ surface of the drawing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I was able to step into, what I would like to call,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situation of Plackman’s </w:t>
      </w:r>
      <w:r w:rsidRPr="00415066">
        <w:rPr>
          <w:rFonts w:ascii="Times New Roman" w:hAnsi="Times New Roman" w:cs="Times New Roman"/>
          <w:i/>
          <w:color w:val="000000" w:themeColor="text1"/>
          <w:lang w:val="en-GB"/>
        </w:rPr>
        <w:t>oeuvre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</w:p>
    <w:p w14:paraId="1F6F65A6" w14:textId="77777777" w:rsidR="005A2FBB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0EBC344D" w14:textId="77777777" w:rsidR="00270BA1" w:rsidRPr="00415066" w:rsidRDefault="005A2FBB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I want to add another dimension to the value of transcription for the </w:t>
      </w:r>
      <w:r w:rsidR="00A147E1" w:rsidRPr="00415066">
        <w:rPr>
          <w:rFonts w:ascii="Times New Roman" w:hAnsi="Times New Roman" w:cs="Times New Roman"/>
          <w:color w:val="000000" w:themeColor="text1"/>
          <w:lang w:val="en-GB"/>
        </w:rPr>
        <w:t>sculptor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As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the core process in this archival project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>, transcription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enabled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me to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produce a collection of forms created by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both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my own and Plackman’s work. If read outside the aesthetic rubric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within the context of Christopher Bollas’ psychoanalytical idea </w:t>
      </w:r>
      <w:r w:rsidR="00675754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>‘the shadow of the object’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in mind,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it can be argued 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that these forms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 created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demonstrate a plastic 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manifestation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of object relations.</w:t>
      </w:r>
      <w:r w:rsidR="009A0557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F3F46A0" w14:textId="77777777" w:rsidR="00270BA1" w:rsidRPr="00415066" w:rsidRDefault="00270BA1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40696729" w14:textId="1C281B1D" w:rsidR="00AD10E9" w:rsidRPr="00415066" w:rsidRDefault="009A0557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Bollas’ book </w:t>
      </w:r>
      <w:r w:rsidRPr="00415066">
        <w:rPr>
          <w:rFonts w:ascii="Times New Roman" w:hAnsi="Times New Roman" w:cs="Times New Roman"/>
          <w:i/>
          <w:color w:val="000000" w:themeColor="text1"/>
          <w:lang w:val="en-GB"/>
        </w:rPr>
        <w:t>The Shadow of the Object: Psychoanalysis of the Unthought Known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7B5500" w:rsidRPr="00415066">
        <w:rPr>
          <w:rStyle w:val="FootnoteReference"/>
          <w:rFonts w:ascii="Times New Roman" w:hAnsi="Times New Roman" w:cs="Times New Roman"/>
          <w:color w:val="000000" w:themeColor="text1"/>
          <w:lang w:val="en-GB"/>
        </w:rPr>
        <w:footnoteReference w:id="1"/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first published in 1987,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is an important reference for me.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He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>use</w:t>
      </w:r>
      <w:r w:rsidR="00DF6215" w:rsidRPr="00415066">
        <w:rPr>
          <w:rFonts w:ascii="Times New Roman" w:hAnsi="Times New Roman" w:cs="Times New Roman"/>
          <w:color w:val="000000" w:themeColor="text1"/>
          <w:lang w:val="en-GB"/>
        </w:rPr>
        <w:t>s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 set of terms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common in the belief systems of </w:t>
      </w:r>
      <w:r w:rsidR="00276E0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both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British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sculpture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>and the British School of Psychoanalysis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. The language of psychoanalysis and the language of sculpture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both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use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the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terms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>object, relations, material, transform</w:t>
      </w:r>
      <w:r w:rsidR="00A147E1" w:rsidRPr="00415066">
        <w:rPr>
          <w:rFonts w:ascii="Times New Roman" w:hAnsi="Times New Roman" w:cs="Times New Roman"/>
          <w:color w:val="000000" w:themeColor="text1"/>
          <w:lang w:val="en-GB"/>
        </w:rPr>
        <w:t>ation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A147E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and generation of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discourse. 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My reading of sculpture through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a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 dynamic play of object relations provides a context for reading 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>the complex space of sculpt</w:t>
      </w:r>
      <w:r w:rsidR="00295972" w:rsidRPr="00415066">
        <w:rPr>
          <w:rFonts w:ascii="Times New Roman" w:hAnsi="Times New Roman" w:cs="Times New Roman"/>
          <w:color w:val="000000" w:themeColor="text1"/>
          <w:lang w:val="en-GB"/>
        </w:rPr>
        <w:t xml:space="preserve">ure in Britain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through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an</w:t>
      </w:r>
      <w:r w:rsidR="006F23A9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inter-</w:t>
      </w:r>
      <w:r w:rsidR="005A2FBB" w:rsidRPr="00415066">
        <w:rPr>
          <w:rFonts w:ascii="Times New Roman" w:hAnsi="Times New Roman" w:cs="Times New Roman"/>
          <w:color w:val="000000" w:themeColor="text1"/>
          <w:lang w:val="en-GB"/>
        </w:rPr>
        <w:t xml:space="preserve">generational narrative.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Not only does my association of time,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place,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and of the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student / master relationship at the core of this transcription process sit within the rubric of object relations, the actual act of juxtaposing objects enacts Bollas’ ideas </w:t>
      </w:r>
      <w:r w:rsidR="00AD10E9" w:rsidRPr="00415066">
        <w:rPr>
          <w:rFonts w:ascii="Times New Roman" w:hAnsi="Times New Roman" w:cs="Times New Roman"/>
          <w:color w:val="000000" w:themeColor="text1"/>
          <w:lang w:val="en-GB"/>
        </w:rPr>
        <w:t xml:space="preserve">within 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a specific pedagogical context of British sculpture. </w:t>
      </w:r>
      <w:r w:rsidR="00AD10E9" w:rsidRPr="00415066">
        <w:rPr>
          <w:rFonts w:ascii="Times New Roman" w:hAnsi="Times New Roman" w:cs="Times New Roman"/>
          <w:color w:val="000000" w:themeColor="text1"/>
          <w:lang w:val="en-GB"/>
        </w:rPr>
        <w:t>I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nterpolating a transformative drawing system into an object of </w:t>
      </w:r>
      <w:r w:rsidR="00270BA1" w:rsidRPr="00415066">
        <w:rPr>
          <w:rFonts w:ascii="Times New Roman" w:hAnsi="Times New Roman" w:cs="Times New Roman"/>
          <w:color w:val="000000" w:themeColor="text1"/>
          <w:lang w:val="en-GB"/>
        </w:rPr>
        <w:t>knowledge (the Plackman drawing -</w:t>
      </w:r>
      <w:r w:rsidR="00B87F16" w:rsidRPr="00415066">
        <w:rPr>
          <w:rFonts w:ascii="Times New Roman" w:hAnsi="Times New Roman" w:cs="Times New Roman"/>
          <w:color w:val="000000" w:themeColor="text1"/>
          <w:lang w:val="en-GB"/>
        </w:rPr>
        <w:t xml:space="preserve"> the archive in this instance) enabled my invention of a situation where minds (or the plastic representation of minds) may mingle through the interplay of artists’ objects. </w:t>
      </w:r>
    </w:p>
    <w:p w14:paraId="01592E69" w14:textId="77777777" w:rsidR="00AD10E9" w:rsidRPr="00415066" w:rsidRDefault="00AD10E9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7F29A2F6" w14:textId="5DEBBBA7" w:rsidR="007B05BF" w:rsidRPr="00415066" w:rsidRDefault="00563F54" w:rsidP="00570474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415066">
        <w:rPr>
          <w:rFonts w:ascii="Times New Roman" w:hAnsi="Times New Roman" w:cs="Times New Roman"/>
          <w:color w:val="000000" w:themeColor="text1"/>
          <w:lang w:val="en-GB"/>
        </w:rPr>
        <w:t xml:space="preserve">To produce 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‘</w:t>
      </w:r>
      <w:r w:rsidRPr="00415066">
        <w:rPr>
          <w:rFonts w:ascii="Times New Roman" w:hAnsi="Times New Roman" w:cs="Times New Roman"/>
          <w:color w:val="000000" w:themeColor="text1"/>
          <w:lang w:val="en-GB"/>
        </w:rPr>
        <w:t>To the Table</w:t>
      </w:r>
      <w:r w:rsidR="004E6B71" w:rsidRPr="00415066">
        <w:rPr>
          <w:rFonts w:ascii="Times New Roman" w:hAnsi="Times New Roman" w:cs="Times New Roman"/>
          <w:color w:val="000000" w:themeColor="text1"/>
          <w:lang w:val="en-GB"/>
        </w:rPr>
        <w:t>’</w:t>
      </w:r>
      <w:r w:rsidRPr="00415066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I set about making the objects in Plackman’s drawing from the data I had collected 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during</w:t>
      </w:r>
      <w:r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transcription. I rendered three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-</w:t>
      </w:r>
      <w:r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dimensional versions on an invented large table top</w:t>
      </w:r>
      <w:r w:rsidR="00534B76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534B76" w:rsidRPr="00415066">
        <w:rPr>
          <w:rFonts w:ascii="Times New Roman" w:hAnsi="Times New Roman" w:cs="Times New Roman"/>
          <w:color w:val="000000" w:themeColor="text1"/>
          <w:lang w:val="en-GB"/>
        </w:rPr>
        <w:t>[see Fig. 2]</w:t>
      </w:r>
      <w:r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  <w:r w:rsidR="001F44B6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As Plackman’s still life composition came alive in my own hands I</w:t>
      </w:r>
      <w:r w:rsidR="00A4573B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001F44B6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literally</w:t>
      </w:r>
      <w:r w:rsidR="00A4573B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001F44B6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dug through my own personal archive of objects, casts, moulds and drawings. </w:t>
      </w:r>
      <w:r w:rsidR="00406F00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Using a transformation system allowed me to engage in the act of free association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and, s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tepping into play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 engaged in imaginative preten</w:t>
      </w:r>
      <w:r w:rsidR="00D91009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c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e. In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this way, 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I performed the roles of both analyst and analysand in the physical and imagined space of the sculpture.</w:t>
      </w:r>
      <w:r w:rsidR="00406F00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These object relations allowed me to recognise a commonality in sculptural thinking that I shared with Plackman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Bollas’ study of the psychoanalytical process involv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es </w:t>
      </w:r>
      <w:r w:rsidR="00270BA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engaging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the deep subjectivity of its two participants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. He describes that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by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‘putting the self into the real through play, children are engaged in a kind of embodied dreaming that brings elements of inner life into the 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lastRenderedPageBreak/>
        <w:t>world’.</w:t>
      </w:r>
      <w:r w:rsidR="002D5F2E" w:rsidRPr="00415066">
        <w:rPr>
          <w:rStyle w:val="EndnoteReference"/>
          <w:rFonts w:ascii="Times New Roman" w:eastAsia="Times New Roman" w:hAnsi="Times New Roman" w:cs="Times New Roman"/>
          <w:color w:val="000000" w:themeColor="text1"/>
          <w:lang w:val="en-GB"/>
        </w:rPr>
        <w:endnoteReference w:id="4"/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Under these term</w:t>
      </w:r>
      <w:r w:rsidR="00270BA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s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, the drawing ‘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Civilisation as Barbarism</w:t>
      </w:r>
      <w:r w:rsidR="004E6B7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’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A4573B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became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the transformational </w:t>
      </w:r>
      <w:r w:rsidR="00270BA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object that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held within it the sculpture ideology in</w:t>
      </w:r>
      <w:r w:rsidR="00270BA1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t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>he complex space of sculpture in Britain</w:t>
      </w:r>
      <w:r w:rsidR="00534B76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534B76" w:rsidRPr="00415066">
        <w:rPr>
          <w:rFonts w:ascii="Times New Roman" w:hAnsi="Times New Roman" w:cs="Times New Roman"/>
          <w:color w:val="000000" w:themeColor="text1"/>
          <w:lang w:val="en-GB"/>
        </w:rPr>
        <w:t>[see Fig. 3]</w:t>
      </w:r>
      <w:r w:rsidR="007B05BF" w:rsidRPr="00415066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</w:p>
    <w:bookmarkEnd w:id="0"/>
    <w:p w14:paraId="2F810132" w14:textId="77777777" w:rsidR="000E321E" w:rsidRPr="00415066" w:rsidRDefault="000E321E" w:rsidP="00570474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sectPr w:rsidR="000E321E" w:rsidRPr="00415066" w:rsidSect="00055670">
      <w:footerReference w:type="even" r:id="rId8"/>
      <w:footerReference w:type="default" r:id="rId9"/>
      <w:footnotePr>
        <w:pos w:val="beneathText"/>
      </w:footnotePr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898C" w14:textId="77777777" w:rsidR="00990B97" w:rsidRDefault="00990B97" w:rsidP="005A2FBB">
      <w:r>
        <w:separator/>
      </w:r>
    </w:p>
  </w:endnote>
  <w:endnote w:type="continuationSeparator" w:id="0">
    <w:p w14:paraId="2AB072A9" w14:textId="77777777" w:rsidR="00990B97" w:rsidRDefault="00990B97" w:rsidP="005A2FBB">
      <w:r>
        <w:continuationSeparator/>
      </w:r>
    </w:p>
  </w:endnote>
  <w:endnote w:id="1">
    <w:p w14:paraId="1F5B7174" w14:textId="5D7A36EF" w:rsidR="00AC3971" w:rsidRPr="007C6E66" w:rsidRDefault="00AC3971">
      <w:pPr>
        <w:pStyle w:val="EndnoteText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Wood, Jon,</w:t>
      </w:r>
      <w:r w:rsidRPr="007C6E66">
        <w:rPr>
          <w:rFonts w:ascii="Times New Roman" w:eastAsia="Times New Roman" w:hAnsi="Times New Roman" w:cs="Times New Roman"/>
          <w:sz w:val="20"/>
          <w:szCs w:val="20"/>
        </w:rPr>
        <w:t xml:space="preserve"> ‘United Enemies: the problem of sculpture in Britain in the 1960s and 1970s’ in Henry Moore Institute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C6E66">
        <w:rPr>
          <w:rFonts w:ascii="Times New Roman" w:eastAsia="Times New Roman" w:hAnsi="Times New Roman" w:cs="Times New Roman"/>
          <w:sz w:val="20"/>
          <w:szCs w:val="20"/>
        </w:rPr>
        <w:t xml:space="preserve"> ed. </w:t>
      </w:r>
      <w:r w:rsidRPr="007C6E66">
        <w:rPr>
          <w:rFonts w:ascii="Times New Roman" w:eastAsia="Times New Roman" w:hAnsi="Times New Roman" w:cs="Times New Roman"/>
          <w:i/>
          <w:sz w:val="20"/>
          <w:szCs w:val="20"/>
        </w:rPr>
        <w:t>United Enemies: the problem of sculpture in Britain in the 1960s and 1970s</w:t>
      </w:r>
      <w:r w:rsidRPr="007C6E66">
        <w:rPr>
          <w:rStyle w:val="Emphasis"/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7C6E66">
        <w:rPr>
          <w:rFonts w:ascii="Times New Roman" w:eastAsia="Times New Roman" w:hAnsi="Times New Roman" w:cs="Times New Roman"/>
          <w:sz w:val="20"/>
          <w:szCs w:val="20"/>
        </w:rPr>
        <w:t>Henry Moore Foundation, 2012, p.6.</w:t>
      </w:r>
    </w:p>
  </w:endnote>
  <w:endnote w:id="2">
    <w:p w14:paraId="182FDA50" w14:textId="7FD5F3B0" w:rsidR="00AC3971" w:rsidRPr="007C6E66" w:rsidRDefault="00AC3971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7C6E66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7C6E66">
        <w:rPr>
          <w:rFonts w:ascii="Times New Roman" w:hAnsi="Times New Roman" w:cs="Times New Roman"/>
          <w:sz w:val="20"/>
          <w:szCs w:val="20"/>
        </w:rPr>
        <w:t xml:space="preserve"> ibid.</w:t>
      </w:r>
    </w:p>
  </w:endnote>
  <w:endnote w:id="3">
    <w:p w14:paraId="570A6469" w14:textId="158E8490" w:rsidR="00AC3971" w:rsidRPr="002C66EF" w:rsidRDefault="00AC3971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7C6E66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7C6E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Dubery, Fred and Willats, John,</w:t>
      </w:r>
      <w:r w:rsidRPr="007C6E66">
        <w:rPr>
          <w:rFonts w:ascii="Times New Roman" w:hAnsi="Times New Roman" w:cs="Times New Roman"/>
          <w:sz w:val="20"/>
          <w:szCs w:val="20"/>
        </w:rPr>
        <w:t xml:space="preserve"> </w:t>
      </w:r>
      <w:r w:rsidRPr="007C6E66">
        <w:rPr>
          <w:rStyle w:val="Emphasis"/>
          <w:rFonts w:ascii="Times New Roman" w:hAnsi="Times New Roman" w:cs="Times New Roman"/>
          <w:sz w:val="20"/>
          <w:szCs w:val="20"/>
        </w:rPr>
        <w:t>Perspective and Other Drawing Systems</w:t>
      </w:r>
      <w:r>
        <w:rPr>
          <w:rFonts w:ascii="Times New Roman" w:hAnsi="Times New Roman" w:cs="Times New Roman"/>
          <w:sz w:val="20"/>
          <w:szCs w:val="20"/>
        </w:rPr>
        <w:t>, New York,</w:t>
      </w:r>
      <w:r w:rsidRPr="007C6E66">
        <w:rPr>
          <w:rFonts w:ascii="Times New Roman" w:hAnsi="Times New Roman" w:cs="Times New Roman"/>
          <w:sz w:val="20"/>
          <w:szCs w:val="20"/>
        </w:rPr>
        <w:t xml:space="preserve"> Van Nostrand Reinhold Company Inc., </w:t>
      </w:r>
      <w:r>
        <w:rPr>
          <w:rFonts w:ascii="Times New Roman" w:hAnsi="Times New Roman" w:cs="Times New Roman"/>
          <w:sz w:val="20"/>
          <w:szCs w:val="20"/>
        </w:rPr>
        <w:t xml:space="preserve">1972, </w:t>
      </w:r>
      <w:r w:rsidRPr="007C6E66">
        <w:rPr>
          <w:rFonts w:ascii="Times New Roman" w:hAnsi="Times New Roman" w:cs="Times New Roman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 xml:space="preserve">7. In this text the authors </w:t>
      </w:r>
      <w:r w:rsidRPr="002C66EF">
        <w:rPr>
          <w:rFonts w:ascii="Times New Roman" w:hAnsi="Times New Roman" w:cs="Times New Roman"/>
          <w:sz w:val="20"/>
          <w:szCs w:val="20"/>
        </w:rPr>
        <w:t>collectively name drawing methods of notating form and space transformation systems</w:t>
      </w:r>
    </w:p>
  </w:endnote>
  <w:endnote w:id="4">
    <w:p w14:paraId="34B53B14" w14:textId="3ECD2085" w:rsidR="00AC3971" w:rsidRDefault="00AC397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>Bollas, C</w:t>
      </w:r>
      <w:r>
        <w:rPr>
          <w:rFonts w:ascii="Times New Roman" w:eastAsia="Times New Roman" w:hAnsi="Times New Roman" w:cs="Times New Roman"/>
          <w:sz w:val="20"/>
          <w:szCs w:val="20"/>
        </w:rPr>
        <w:t>hristopher,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5F2E">
        <w:rPr>
          <w:rStyle w:val="Emphasis"/>
          <w:rFonts w:ascii="Times New Roman" w:eastAsia="Times New Roman" w:hAnsi="Times New Roman" w:cs="Times New Roman"/>
          <w:sz w:val="20"/>
          <w:szCs w:val="20"/>
        </w:rPr>
        <w:t>The Mystery of Things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London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Routledge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>.152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5F6C" w14:textId="77777777" w:rsidR="00AC3971" w:rsidRDefault="00AC3971" w:rsidP="00B51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60B18" w14:textId="77777777" w:rsidR="00AC3971" w:rsidRDefault="00AC3971" w:rsidP="00A60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5A53" w14:textId="77777777" w:rsidR="00AC3971" w:rsidRDefault="00AC3971" w:rsidP="00B51F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8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92F9D" w14:textId="77777777" w:rsidR="00AC3971" w:rsidRDefault="00AC3971" w:rsidP="00A600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5DF44" w14:textId="77777777" w:rsidR="00990B97" w:rsidRDefault="00990B97" w:rsidP="005A2FBB">
      <w:r>
        <w:separator/>
      </w:r>
    </w:p>
  </w:footnote>
  <w:footnote w:type="continuationSeparator" w:id="0">
    <w:p w14:paraId="51FAFDBF" w14:textId="77777777" w:rsidR="00990B97" w:rsidRDefault="00990B97" w:rsidP="005A2FBB">
      <w:r>
        <w:continuationSeparator/>
      </w:r>
    </w:p>
  </w:footnote>
  <w:footnote w:id="1">
    <w:p w14:paraId="5D8DBCA3" w14:textId="4DB57F1C" w:rsidR="00AC3971" w:rsidRDefault="00AC39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>Bollas, C</w:t>
      </w:r>
      <w:r>
        <w:rPr>
          <w:rFonts w:ascii="Times New Roman" w:eastAsia="Times New Roman" w:hAnsi="Times New Roman" w:cs="Times New Roman"/>
          <w:sz w:val="20"/>
          <w:szCs w:val="20"/>
        </w:rPr>
        <w:t>hristopher,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5F2E">
        <w:rPr>
          <w:rStyle w:val="Emphasis"/>
          <w:rFonts w:ascii="Times New Roman" w:eastAsia="Times New Roman" w:hAnsi="Times New Roman" w:cs="Times New Roman"/>
          <w:sz w:val="20"/>
          <w:szCs w:val="20"/>
        </w:rPr>
        <w:t>The Mystery of Things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London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 xml:space="preserve"> Routledge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D5F2E">
        <w:rPr>
          <w:rFonts w:ascii="Times New Roman" w:eastAsia="Times New Roman" w:hAnsi="Times New Roman" w:cs="Times New Roman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BCA2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BB"/>
    <w:rsid w:val="00025A29"/>
    <w:rsid w:val="00037B4B"/>
    <w:rsid w:val="00037F46"/>
    <w:rsid w:val="00044D70"/>
    <w:rsid w:val="00055670"/>
    <w:rsid w:val="000666EB"/>
    <w:rsid w:val="000A2BB5"/>
    <w:rsid w:val="000A6D98"/>
    <w:rsid w:val="000E321E"/>
    <w:rsid w:val="00114629"/>
    <w:rsid w:val="0012113B"/>
    <w:rsid w:val="00151EE7"/>
    <w:rsid w:val="00153486"/>
    <w:rsid w:val="001745C6"/>
    <w:rsid w:val="00183796"/>
    <w:rsid w:val="00192EBB"/>
    <w:rsid w:val="001A6698"/>
    <w:rsid w:val="001A6C4C"/>
    <w:rsid w:val="001C5689"/>
    <w:rsid w:val="001C675C"/>
    <w:rsid w:val="001C7ACA"/>
    <w:rsid w:val="001F44B6"/>
    <w:rsid w:val="00226BA1"/>
    <w:rsid w:val="00230A7B"/>
    <w:rsid w:val="002410F5"/>
    <w:rsid w:val="0024264C"/>
    <w:rsid w:val="002431C4"/>
    <w:rsid w:val="00245DC8"/>
    <w:rsid w:val="00270BA1"/>
    <w:rsid w:val="00276E0B"/>
    <w:rsid w:val="00284F36"/>
    <w:rsid w:val="002876B7"/>
    <w:rsid w:val="00295972"/>
    <w:rsid w:val="002B25A8"/>
    <w:rsid w:val="002C66EF"/>
    <w:rsid w:val="002C770B"/>
    <w:rsid w:val="002D5760"/>
    <w:rsid w:val="002D5F2E"/>
    <w:rsid w:val="002E6897"/>
    <w:rsid w:val="002E7312"/>
    <w:rsid w:val="002F34A2"/>
    <w:rsid w:val="00300C2A"/>
    <w:rsid w:val="00325BB3"/>
    <w:rsid w:val="0034349E"/>
    <w:rsid w:val="003535AC"/>
    <w:rsid w:val="00354D21"/>
    <w:rsid w:val="00362465"/>
    <w:rsid w:val="00376B46"/>
    <w:rsid w:val="00387197"/>
    <w:rsid w:val="003C3440"/>
    <w:rsid w:val="003E1042"/>
    <w:rsid w:val="003E4664"/>
    <w:rsid w:val="003F107B"/>
    <w:rsid w:val="003F5CE0"/>
    <w:rsid w:val="00406F00"/>
    <w:rsid w:val="00415066"/>
    <w:rsid w:val="004211BB"/>
    <w:rsid w:val="00423A9C"/>
    <w:rsid w:val="004409DF"/>
    <w:rsid w:val="004558D2"/>
    <w:rsid w:val="00485266"/>
    <w:rsid w:val="0049323D"/>
    <w:rsid w:val="004A6458"/>
    <w:rsid w:val="004D0540"/>
    <w:rsid w:val="004D0760"/>
    <w:rsid w:val="004E6B71"/>
    <w:rsid w:val="004F21B3"/>
    <w:rsid w:val="00510359"/>
    <w:rsid w:val="00534B76"/>
    <w:rsid w:val="0053732F"/>
    <w:rsid w:val="00545F53"/>
    <w:rsid w:val="00563F54"/>
    <w:rsid w:val="00563F93"/>
    <w:rsid w:val="00570474"/>
    <w:rsid w:val="00574422"/>
    <w:rsid w:val="00586384"/>
    <w:rsid w:val="00590B26"/>
    <w:rsid w:val="005943C4"/>
    <w:rsid w:val="005A2E13"/>
    <w:rsid w:val="005A2FBB"/>
    <w:rsid w:val="005A68DA"/>
    <w:rsid w:val="005C0320"/>
    <w:rsid w:val="005D5CFB"/>
    <w:rsid w:val="005E4A24"/>
    <w:rsid w:val="00603A05"/>
    <w:rsid w:val="006052EA"/>
    <w:rsid w:val="00605C51"/>
    <w:rsid w:val="0065116D"/>
    <w:rsid w:val="00675754"/>
    <w:rsid w:val="00677EE6"/>
    <w:rsid w:val="006A3173"/>
    <w:rsid w:val="006B17C1"/>
    <w:rsid w:val="006D3B38"/>
    <w:rsid w:val="006D4363"/>
    <w:rsid w:val="006D446B"/>
    <w:rsid w:val="006E1373"/>
    <w:rsid w:val="006F23A9"/>
    <w:rsid w:val="006F25E0"/>
    <w:rsid w:val="007126AE"/>
    <w:rsid w:val="007174FF"/>
    <w:rsid w:val="007327BE"/>
    <w:rsid w:val="00735DE2"/>
    <w:rsid w:val="00755562"/>
    <w:rsid w:val="007573B3"/>
    <w:rsid w:val="007B05BF"/>
    <w:rsid w:val="007B5500"/>
    <w:rsid w:val="007C1545"/>
    <w:rsid w:val="007C3A8D"/>
    <w:rsid w:val="007C6E66"/>
    <w:rsid w:val="007C7FBE"/>
    <w:rsid w:val="007D3F74"/>
    <w:rsid w:val="00805497"/>
    <w:rsid w:val="00830627"/>
    <w:rsid w:val="0083426B"/>
    <w:rsid w:val="008416DE"/>
    <w:rsid w:val="0085516B"/>
    <w:rsid w:val="0086147D"/>
    <w:rsid w:val="00862883"/>
    <w:rsid w:val="0088606F"/>
    <w:rsid w:val="008A0D22"/>
    <w:rsid w:val="008A2002"/>
    <w:rsid w:val="008A3735"/>
    <w:rsid w:val="008D44BA"/>
    <w:rsid w:val="008E74D2"/>
    <w:rsid w:val="008F0B0C"/>
    <w:rsid w:val="008F7E3D"/>
    <w:rsid w:val="009029CE"/>
    <w:rsid w:val="009323E6"/>
    <w:rsid w:val="009362EF"/>
    <w:rsid w:val="00971638"/>
    <w:rsid w:val="00990B97"/>
    <w:rsid w:val="009A0557"/>
    <w:rsid w:val="009D600C"/>
    <w:rsid w:val="009D7DCF"/>
    <w:rsid w:val="009F16A2"/>
    <w:rsid w:val="00A068B0"/>
    <w:rsid w:val="00A147E1"/>
    <w:rsid w:val="00A2390F"/>
    <w:rsid w:val="00A44AB6"/>
    <w:rsid w:val="00A4573B"/>
    <w:rsid w:val="00A60048"/>
    <w:rsid w:val="00A7686E"/>
    <w:rsid w:val="00A90B87"/>
    <w:rsid w:val="00AC3971"/>
    <w:rsid w:val="00AD10E9"/>
    <w:rsid w:val="00B110B1"/>
    <w:rsid w:val="00B51F9C"/>
    <w:rsid w:val="00B51FF0"/>
    <w:rsid w:val="00B54650"/>
    <w:rsid w:val="00B573DE"/>
    <w:rsid w:val="00B6551C"/>
    <w:rsid w:val="00B715C9"/>
    <w:rsid w:val="00B715F5"/>
    <w:rsid w:val="00B77BA8"/>
    <w:rsid w:val="00B77E39"/>
    <w:rsid w:val="00B85A89"/>
    <w:rsid w:val="00B868AE"/>
    <w:rsid w:val="00B87F16"/>
    <w:rsid w:val="00BA460A"/>
    <w:rsid w:val="00BB1367"/>
    <w:rsid w:val="00BB19BA"/>
    <w:rsid w:val="00BB453E"/>
    <w:rsid w:val="00C0251D"/>
    <w:rsid w:val="00C12FA1"/>
    <w:rsid w:val="00C13BB5"/>
    <w:rsid w:val="00C21AB6"/>
    <w:rsid w:val="00C64B5A"/>
    <w:rsid w:val="00C652AF"/>
    <w:rsid w:val="00C80DEA"/>
    <w:rsid w:val="00C96942"/>
    <w:rsid w:val="00CD344A"/>
    <w:rsid w:val="00CF60FB"/>
    <w:rsid w:val="00D0037E"/>
    <w:rsid w:val="00D21DDF"/>
    <w:rsid w:val="00D2496D"/>
    <w:rsid w:val="00D262FB"/>
    <w:rsid w:val="00D629DA"/>
    <w:rsid w:val="00D725B8"/>
    <w:rsid w:val="00D72C02"/>
    <w:rsid w:val="00D77444"/>
    <w:rsid w:val="00D8125E"/>
    <w:rsid w:val="00D81D67"/>
    <w:rsid w:val="00D91009"/>
    <w:rsid w:val="00D9377E"/>
    <w:rsid w:val="00D93FE3"/>
    <w:rsid w:val="00DB2A6C"/>
    <w:rsid w:val="00DB34F2"/>
    <w:rsid w:val="00DD2423"/>
    <w:rsid w:val="00DE1908"/>
    <w:rsid w:val="00DE6DBA"/>
    <w:rsid w:val="00DF3FE4"/>
    <w:rsid w:val="00DF6215"/>
    <w:rsid w:val="00E03EB2"/>
    <w:rsid w:val="00E045A2"/>
    <w:rsid w:val="00E3113D"/>
    <w:rsid w:val="00E81620"/>
    <w:rsid w:val="00EB2F0D"/>
    <w:rsid w:val="00EC343E"/>
    <w:rsid w:val="00ED44BF"/>
    <w:rsid w:val="00EF0B77"/>
    <w:rsid w:val="00F4116B"/>
    <w:rsid w:val="00F612D8"/>
    <w:rsid w:val="00F873C7"/>
    <w:rsid w:val="00FA52EA"/>
    <w:rsid w:val="00FA6EF1"/>
    <w:rsid w:val="00FD04E9"/>
    <w:rsid w:val="00FD2CB9"/>
    <w:rsid w:val="00FD5275"/>
    <w:rsid w:val="00FE360F"/>
    <w:rsid w:val="00FE517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2910C"/>
  <w14:defaultImageDpi w14:val="300"/>
  <w15:docId w15:val="{73D57149-B997-6045-A86A-16CD15E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FBB"/>
  </w:style>
  <w:style w:type="paragraph" w:styleId="Heading1">
    <w:name w:val="heading 1"/>
    <w:basedOn w:val="Normal"/>
    <w:link w:val="Heading1Char"/>
    <w:uiPriority w:val="9"/>
    <w:qFormat/>
    <w:rsid w:val="004211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A2FBB"/>
  </w:style>
  <w:style w:type="character" w:customStyle="1" w:styleId="FootnoteTextChar">
    <w:name w:val="Footnote Text Char"/>
    <w:basedOn w:val="DefaultParagraphFont"/>
    <w:link w:val="FootnoteText"/>
    <w:uiPriority w:val="99"/>
    <w:rsid w:val="005A2FBB"/>
  </w:style>
  <w:style w:type="character" w:styleId="FootnoteReference">
    <w:name w:val="footnote reference"/>
    <w:basedOn w:val="DefaultParagraphFont"/>
    <w:uiPriority w:val="99"/>
    <w:unhideWhenUsed/>
    <w:rsid w:val="005A2FBB"/>
    <w:rPr>
      <w:vertAlign w:val="superscript"/>
    </w:rPr>
  </w:style>
  <w:style w:type="character" w:styleId="Emphasis">
    <w:name w:val="Emphasis"/>
    <w:uiPriority w:val="20"/>
    <w:qFormat/>
    <w:rsid w:val="005A2FBB"/>
    <w:rPr>
      <w:i/>
      <w:iCs/>
    </w:rPr>
  </w:style>
  <w:style w:type="character" w:styleId="Strong">
    <w:name w:val="Strong"/>
    <w:basedOn w:val="DefaultParagraphFont"/>
    <w:uiPriority w:val="22"/>
    <w:qFormat/>
    <w:rsid w:val="005A2F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00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48"/>
  </w:style>
  <w:style w:type="character" w:styleId="PageNumber">
    <w:name w:val="page number"/>
    <w:basedOn w:val="DefaultParagraphFont"/>
    <w:uiPriority w:val="99"/>
    <w:semiHidden/>
    <w:unhideWhenUsed/>
    <w:rsid w:val="00A60048"/>
  </w:style>
  <w:style w:type="character" w:customStyle="1" w:styleId="Heading1Char">
    <w:name w:val="Heading 1 Char"/>
    <w:basedOn w:val="DefaultParagraphFont"/>
    <w:link w:val="Heading1"/>
    <w:uiPriority w:val="9"/>
    <w:rsid w:val="004211BB"/>
    <w:rPr>
      <w:rFonts w:ascii="Times" w:hAnsi="Times"/>
      <w:b/>
      <w:bCs/>
      <w:kern w:val="36"/>
      <w:sz w:val="48"/>
      <w:szCs w:val="4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12FA1"/>
  </w:style>
  <w:style w:type="character" w:customStyle="1" w:styleId="EndnoteTextChar">
    <w:name w:val="Endnote Text Char"/>
    <w:basedOn w:val="DefaultParagraphFont"/>
    <w:link w:val="EndnoteText"/>
    <w:uiPriority w:val="99"/>
    <w:rsid w:val="00C12FA1"/>
  </w:style>
  <w:style w:type="character" w:styleId="EndnoteReference">
    <w:name w:val="endnote reference"/>
    <w:basedOn w:val="DefaultParagraphFont"/>
    <w:uiPriority w:val="99"/>
    <w:unhideWhenUsed/>
    <w:rsid w:val="00C12FA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6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C8319-ED0B-C240-B955-F12AB6F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1371</Words>
  <Characters>7972</Characters>
  <Application>Microsoft Office Word</Application>
  <DocSecurity>0</DocSecurity>
  <Lines>419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Gaffney</dc:creator>
  <cp:keywords/>
  <dc:description/>
  <cp:lastModifiedBy>SHEILA GAFFNEY</cp:lastModifiedBy>
  <cp:revision>2</cp:revision>
  <cp:lastPrinted>2015-04-01T12:14:00Z</cp:lastPrinted>
  <dcterms:created xsi:type="dcterms:W3CDTF">2019-05-03T15:55:00Z</dcterms:created>
  <dcterms:modified xsi:type="dcterms:W3CDTF">2019-05-03T15:55:00Z</dcterms:modified>
</cp:coreProperties>
</file>